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C46866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C46866">
        <w:rPr>
          <w:rFonts w:ascii="Arial" w:hAnsi="Arial" w:cs="Arial"/>
          <w:b/>
          <w:sz w:val="24"/>
          <w:szCs w:val="24"/>
        </w:rPr>
        <w:t>II/390 Březí – sanace svahu, PD</w:t>
      </w:r>
      <w:bookmarkStart w:id="0" w:name="_GoBack"/>
      <w:bookmarkEnd w:id="0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Majdičová Markéta Ing.</cp:lastModifiedBy>
  <cp:revision>38</cp:revision>
  <cp:lastPrinted>2018-03-19T09:27:00Z</cp:lastPrinted>
  <dcterms:created xsi:type="dcterms:W3CDTF">2016-12-06T10:35:00Z</dcterms:created>
  <dcterms:modified xsi:type="dcterms:W3CDTF">2020-07-27T12:33:00Z</dcterms:modified>
</cp:coreProperties>
</file>